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381BFD" w:rsidRDefault="00C00247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 w:cs="Open Sans"/>
          <w:smallCaps/>
          <w:noProof/>
          <w:sz w:val="24"/>
        </w:rPr>
        <w:t>Single Tender Report</w:t>
      </w:r>
      <w:r w:rsidR="00381BFD">
        <w:rPr>
          <w:rFonts w:ascii="Open Sans" w:hAnsi="Open Sans" w:cs="Open Sans"/>
          <w:smallCaps/>
          <w:noProof/>
          <w:sz w:val="24"/>
        </w:rPr>
        <w:t xml:space="preserve"> –</w:t>
      </w:r>
      <w:r w:rsidR="00F90527">
        <w:rPr>
          <w:rFonts w:ascii="Open Sans" w:hAnsi="Open Sans" w:cs="Open Sans"/>
          <w:smallCaps/>
          <w:noProof/>
          <w:sz w:val="24"/>
        </w:rPr>
        <w:t xml:space="preserve"> </w:t>
      </w:r>
      <w:r w:rsidR="00A628CE">
        <w:rPr>
          <w:rFonts w:ascii="Open Sans" w:hAnsi="Open Sans" w:cs="Open Sans"/>
          <w:smallCaps/>
          <w:noProof/>
          <w:sz w:val="24"/>
        </w:rPr>
        <w:t>Supply</w:t>
      </w:r>
      <w:bookmarkStart w:id="0" w:name="_GoBack"/>
      <w:bookmarkEnd w:id="0"/>
    </w:p>
    <w:p w:rsidR="00B15C5D" w:rsidRPr="000F577F" w:rsidRDefault="00B15C5D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B15C5D" w:rsidRPr="000F577F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en-GB"/>
        </w:rPr>
      </w:pPr>
      <w:r w:rsidRPr="000F577F">
        <w:rPr>
          <w:rFonts w:ascii="Open Sans" w:hAnsi="Open Sans" w:cs="Open Sans"/>
          <w:b/>
          <w:sz w:val="20"/>
          <w:lang w:val="en-GB"/>
        </w:rPr>
        <w:t xml:space="preserve">REF.: </w:t>
      </w:r>
      <w:r w:rsidR="000F577F" w:rsidRPr="00294FED">
        <w:rPr>
          <w:rFonts w:ascii="Open Sans" w:hAnsi="Open Sans" w:cs="Open Sans"/>
          <w:b/>
          <w:sz w:val="20"/>
          <w:highlight w:val="lightGray"/>
          <w:lang w:val="en-GB"/>
        </w:rPr>
        <w:t>[xxxxxxxxxx]</w:t>
      </w:r>
    </w:p>
    <w:p w:rsidR="001C57B9" w:rsidRPr="000F577F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1B3804" w:rsidRPr="000F577F" w:rsidRDefault="001B3804" w:rsidP="00606C52">
      <w:pPr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 xml:space="preserve">Maximum available budget: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[amount]</w:t>
      </w:r>
      <w:r w:rsidR="009C25AE">
        <w:rPr>
          <w:rFonts w:ascii="Open Sans" w:hAnsi="Open Sans" w:cs="Open Sans"/>
          <w:sz w:val="20"/>
          <w:lang w:val="en-GB"/>
        </w:rPr>
        <w:t xml:space="preserve"> </w:t>
      </w:r>
      <w:r w:rsidRPr="000F577F">
        <w:rPr>
          <w:rFonts w:ascii="Open Sans" w:hAnsi="Open Sans" w:cs="Open Sans"/>
          <w:sz w:val="20"/>
          <w:lang w:val="en-GB"/>
        </w:rPr>
        <w:t xml:space="preserve">EUR equivalent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[amount</w:t>
      </w:r>
      <w:r w:rsidR="009C25AE" w:rsidRPr="000F577F" w:rsidDel="009C25AE">
        <w:rPr>
          <w:rFonts w:ascii="Open Sans" w:hAnsi="Open Sans" w:cs="Open Sans"/>
          <w:sz w:val="20"/>
          <w:lang w:val="en-GB"/>
        </w:rPr>
        <w:t xml:space="preserve">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="00AD6A5B" w:rsidRPr="00294FED">
        <w:rPr>
          <w:rFonts w:ascii="Open Sans" w:hAnsi="Open Sans" w:cs="Open Sans"/>
          <w:sz w:val="20"/>
          <w:highlight w:val="lightGray"/>
          <w:lang w:val="en-GB"/>
        </w:rPr>
        <w:t>National currency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Pr="000F577F">
        <w:rPr>
          <w:rFonts w:ascii="Open Sans" w:hAnsi="Open Sans" w:cs="Open Sans"/>
          <w:sz w:val="20"/>
          <w:lang w:val="en-GB"/>
        </w:rPr>
        <w:t xml:space="preserve"> calculated using the Inforeuro exchange rate from </w:t>
      </w:r>
      <w:r w:rsidR="000F577F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month of launching the tender procedure</w:t>
      </w:r>
      <w:r w:rsidR="000F577F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="000F577F">
        <w:rPr>
          <w:rFonts w:ascii="Open Sans" w:hAnsi="Open Sans" w:cs="Open Sans"/>
          <w:sz w:val="20"/>
          <w:lang w:val="en-GB"/>
        </w:rPr>
        <w:t>.</w:t>
      </w: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>The tender submission deadline</w:t>
      </w:r>
      <w:r w:rsidR="002D2DB3">
        <w:rPr>
          <w:rStyle w:val="Lbjegyzet-hivatkozs"/>
          <w:rFonts w:ascii="Open Sans" w:hAnsi="Open Sans" w:cs="Open Sans"/>
          <w:sz w:val="20"/>
          <w:lang w:val="en-GB"/>
        </w:rPr>
        <w:footnoteReference w:id="1"/>
      </w:r>
      <w:r w:rsidRPr="000F577F">
        <w:rPr>
          <w:rFonts w:ascii="Open Sans" w:hAnsi="Open Sans" w:cs="Open Sans"/>
          <w:sz w:val="20"/>
          <w:lang w:val="en-GB"/>
        </w:rPr>
        <w:t xml:space="preserve"> was 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dd/mm/yyyy</w:t>
      </w:r>
      <w:r w:rsidR="009C25AE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="002D2DB3" w:rsidRPr="002D2DB3">
        <w:rPr>
          <w:rFonts w:ascii="Open Sans" w:hAnsi="Open Sans" w:cs="Open Sans"/>
          <w:sz w:val="20"/>
          <w:lang w:val="en-GB"/>
        </w:rPr>
        <w:t xml:space="preserve"> at </w:t>
      </w:r>
      <w:r w:rsidR="002D2DB3" w:rsidRPr="00294FED">
        <w:rPr>
          <w:rFonts w:ascii="Open Sans" w:hAnsi="Open Sans" w:cs="Open Sans"/>
          <w:sz w:val="20"/>
          <w:highlight w:val="lightGray"/>
          <w:lang w:val="en-GB"/>
        </w:rPr>
        <w:t>[xx:xx]</w:t>
      </w:r>
      <w:r w:rsidR="002D2DB3" w:rsidRPr="002D2DB3">
        <w:rPr>
          <w:rFonts w:ascii="Open Sans" w:hAnsi="Open Sans" w:cs="Open Sans"/>
          <w:sz w:val="20"/>
          <w:lang w:val="en-GB"/>
        </w:rPr>
        <w:t xml:space="preserve"> hours</w:t>
      </w:r>
      <w:r w:rsidRPr="002D2DB3">
        <w:rPr>
          <w:rFonts w:ascii="Open Sans" w:hAnsi="Open Sans" w:cs="Open Sans"/>
          <w:sz w:val="20"/>
          <w:lang w:val="en-GB"/>
        </w:rPr>
        <w:t>.</w:t>
      </w: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>The evaluation is implemented by</w:t>
      </w:r>
      <w:r w:rsidR="009A70A6">
        <w:rPr>
          <w:rFonts w:ascii="Open Sans" w:hAnsi="Open Sans" w:cs="Open Sans"/>
          <w:sz w:val="20"/>
          <w:lang w:val="en-GB"/>
        </w:rPr>
        <w:t xml:space="preserve"> the Contracting Authority.</w:t>
      </w:r>
      <w:r w:rsidRPr="000F577F">
        <w:rPr>
          <w:rFonts w:ascii="Open Sans" w:hAnsi="Open Sans" w:cs="Open Sans"/>
          <w:sz w:val="20"/>
          <w:lang w:val="en-GB"/>
        </w:rPr>
        <w:t xml:space="preserve"> </w:t>
      </w:r>
    </w:p>
    <w:p w:rsidR="005E5FA0" w:rsidRPr="000F577F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en-GB"/>
        </w:rPr>
      </w:pPr>
    </w:p>
    <w:p w:rsidR="005E5FA0" w:rsidRPr="0032268B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en-GB"/>
        </w:rPr>
      </w:pPr>
      <w:r w:rsidRPr="00D97832">
        <w:rPr>
          <w:rFonts w:ascii="Open Sans" w:hAnsi="Open Sans" w:cs="Open Sans"/>
          <w:b/>
          <w:smallCaps/>
          <w:sz w:val="20"/>
          <w:lang w:val="en-GB"/>
        </w:rPr>
        <w:t>Administrative check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1604"/>
        <w:gridCol w:w="1089"/>
        <w:gridCol w:w="1559"/>
        <w:gridCol w:w="1701"/>
      </w:tblGrid>
      <w:tr w:rsidR="00C00247" w:rsidRPr="00D07AF4" w:rsidTr="0032268B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D07AF4" w:rsidRDefault="00C00247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envelope number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Tenderer's  name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D07AF4" w:rsidRDefault="00C00247" w:rsidP="00726A81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br w:type="textWrapping" w:clear="all"/>
              <w:t>Within deadline? (Y/N)</w:t>
            </w:r>
          </w:p>
        </w:tc>
        <w:tc>
          <w:tcPr>
            <w:tcW w:w="1604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documentation is complete?</w:t>
            </w:r>
            <w:r w:rsidRPr="00D07AF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08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-11" w:right="-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Eligible nationality?</w:t>
            </w:r>
            <w:r w:rsidRPr="00D07AF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Offer complete and administratively compliant?</w:t>
            </w:r>
          </w:p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D07AF4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Comment</w:t>
            </w:r>
          </w:p>
        </w:tc>
      </w:tr>
      <w:tr w:rsidR="00C00247" w:rsidRPr="000F577F" w:rsidTr="0032268B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0F577F" w:rsidTr="0032268B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0F577F" w:rsidTr="0032268B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294FED">
              <w:rPr>
                <w:rFonts w:ascii="Open Sans" w:hAnsi="Open Sans" w:cs="Open Sans"/>
                <w:snapToGrid/>
                <w:sz w:val="20"/>
                <w:highlight w:val="lightGray"/>
                <w:lang w:val="en-GB" w:eastAsia="en-GB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</w:tbl>
    <w:p w:rsidR="003B2E3A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en-GB" w:eastAsia="en-GB"/>
        </w:rPr>
      </w:pPr>
    </w:p>
    <w:p w:rsidR="00441B3B" w:rsidRPr="0032268B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en-GB" w:eastAsia="en-GB"/>
        </w:rPr>
      </w:pPr>
      <w:r w:rsidRPr="00D97832">
        <w:rPr>
          <w:rFonts w:ascii="Open Sans" w:hAnsi="Open Sans" w:cs="Open Sans"/>
          <w:b/>
          <w:bCs/>
          <w:smallCaps/>
          <w:snapToGrid/>
          <w:sz w:val="20"/>
          <w:lang w:val="en-GB" w:eastAsia="en-GB"/>
        </w:rPr>
        <w:t>evaluation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D07AF4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D07AF4" w:rsidRDefault="00A628CE" w:rsidP="00F97EB5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envelope number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Tenderer name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Is the offer technically compliant?</w:t>
            </w:r>
          </w:p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(Yes/No)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Financial offer (NC/EUR)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Ranking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77741C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Comments</w:t>
            </w: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en-GB" w:eastAsia="en-GB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</w:tbl>
    <w:p w:rsidR="0032268B" w:rsidRDefault="0032268B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en-GB"/>
        </w:rPr>
      </w:pPr>
    </w:p>
    <w:p w:rsidR="000D7F28" w:rsidRPr="00294FED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en-GB"/>
        </w:rPr>
      </w:pPr>
    </w:p>
    <w:p w:rsidR="000D7F28" w:rsidRPr="00294FED" w:rsidRDefault="001F45CF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en-GB"/>
        </w:rPr>
      </w:pPr>
      <w:r w:rsidRPr="00294FED">
        <w:rPr>
          <w:rFonts w:ascii="Open Sans" w:hAnsi="Open Sans" w:cs="Open Sans"/>
          <w:sz w:val="20"/>
          <w:highlight w:val="lightGray"/>
          <w:lang w:val="en-GB"/>
        </w:rPr>
        <w:t>Tender N</w:t>
      </w:r>
      <w:r w:rsidR="000D7F28" w:rsidRPr="00294FED">
        <w:rPr>
          <w:rFonts w:ascii="Open Sans" w:hAnsi="Open Sans" w:cs="Open Sans"/>
          <w:sz w:val="20"/>
          <w:highlight w:val="lightGray"/>
          <w:lang w:val="en-GB"/>
        </w:rPr>
        <w:t>o. x is excluded from evaluation for the following reason:</w:t>
      </w:r>
      <w:r w:rsidR="000D7F28" w:rsidRPr="00294FED">
        <w:rPr>
          <w:rStyle w:val="Lbjegyzet-hivatkozs"/>
          <w:rFonts w:ascii="Open Sans" w:hAnsi="Open Sans" w:cs="Open Sans"/>
          <w:sz w:val="20"/>
          <w:highlight w:val="lightGray"/>
          <w:lang w:val="en-GB"/>
        </w:rPr>
        <w:footnoteReference w:id="2"/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  <w:r w:rsidRPr="00294FED">
        <w:rPr>
          <w:rFonts w:ascii="Open Sans" w:hAnsi="Open Sans" w:cs="Open Sans"/>
          <w:sz w:val="20"/>
          <w:highlight w:val="lightGray"/>
          <w:lang w:val="en-GB"/>
        </w:rPr>
        <w:t>…</w:t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</w:p>
    <w:p w:rsidR="00DB3BD8" w:rsidRPr="00D07AF4" w:rsidRDefault="00DB3BD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  <w:r w:rsidRPr="00D07AF4">
        <w:rPr>
          <w:rFonts w:ascii="Open Sans" w:hAnsi="Open Sans" w:cs="Open Sans"/>
          <w:sz w:val="20"/>
          <w:lang w:val="en-GB"/>
        </w:rPr>
        <w:t xml:space="preserve">The winning offer is </w:t>
      </w:r>
      <w:r w:rsidR="00355CEC" w:rsidRPr="00294FED">
        <w:rPr>
          <w:rFonts w:ascii="Open Sans" w:hAnsi="Open Sans" w:cs="Open Sans"/>
          <w:b/>
          <w:bCs/>
          <w:snapToGrid/>
          <w:sz w:val="20"/>
          <w:highlight w:val="lightGray"/>
          <w:lang w:val="en-GB" w:eastAsia="en-GB"/>
        </w:rPr>
        <w:t>[name of tenderer]</w:t>
      </w:r>
      <w:r w:rsidRPr="00D07AF4">
        <w:rPr>
          <w:rFonts w:ascii="Open Sans" w:hAnsi="Open Sans" w:cs="Open Sans"/>
          <w:sz w:val="20"/>
          <w:lang w:val="en-GB"/>
        </w:rPr>
        <w:t xml:space="preserve"> for the price of 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="00355CEC" w:rsidRPr="00294FED">
        <w:rPr>
          <w:rFonts w:ascii="Open Sans" w:hAnsi="Open Sans" w:cs="Open Sans"/>
          <w:b/>
          <w:sz w:val="20"/>
          <w:highlight w:val="lightGray"/>
          <w:lang w:val="en-GB"/>
        </w:rPr>
        <w:t>amount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="00355CEC">
        <w:rPr>
          <w:rFonts w:ascii="Open Sans" w:hAnsi="Open Sans" w:cs="Open Sans"/>
          <w:sz w:val="20"/>
          <w:lang w:val="en-GB"/>
        </w:rPr>
        <w:t xml:space="preserve"> 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[</w:t>
      </w:r>
      <w:r w:rsidR="00851633" w:rsidRPr="00294FED">
        <w:rPr>
          <w:rFonts w:ascii="Open Sans" w:hAnsi="Open Sans" w:cs="Open Sans"/>
          <w:b/>
          <w:sz w:val="20"/>
          <w:highlight w:val="lightGray"/>
          <w:lang w:val="en-GB"/>
        </w:rPr>
        <w:t>EUR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 xml:space="preserve">] </w:t>
      </w:r>
      <w:r w:rsidRPr="00294FED">
        <w:rPr>
          <w:rFonts w:ascii="Open Sans" w:hAnsi="Open Sans" w:cs="Open Sans"/>
          <w:sz w:val="20"/>
          <w:highlight w:val="lightGray"/>
          <w:lang w:val="en-GB"/>
        </w:rPr>
        <w:t>/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 xml:space="preserve"> [</w:t>
      </w:r>
      <w:r w:rsidR="005A3F63" w:rsidRPr="00294FED">
        <w:rPr>
          <w:rFonts w:ascii="Open Sans" w:hAnsi="Open Sans" w:cs="Open Sans"/>
          <w:b/>
          <w:sz w:val="20"/>
          <w:highlight w:val="lightGray"/>
          <w:lang w:val="en-GB"/>
        </w:rPr>
        <w:t>NC</w:t>
      </w:r>
      <w:r w:rsidR="00355CEC" w:rsidRPr="00294FED">
        <w:rPr>
          <w:rFonts w:ascii="Open Sans" w:hAnsi="Open Sans" w:cs="Open Sans"/>
          <w:sz w:val="20"/>
          <w:highlight w:val="lightGray"/>
          <w:lang w:val="en-GB"/>
        </w:rPr>
        <w:t>]</w:t>
      </w:r>
      <w:r w:rsidRPr="00D07AF4">
        <w:rPr>
          <w:rFonts w:ascii="Open Sans" w:hAnsi="Open Sans" w:cs="Open Sans"/>
          <w:sz w:val="20"/>
          <w:lang w:val="en-GB"/>
        </w:rPr>
        <w:t>.</w:t>
      </w:r>
    </w:p>
    <w:p w:rsidR="00DB3BD8" w:rsidRDefault="00DB3BD8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261593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  <w:r w:rsidRPr="00261593">
              <w:rPr>
                <w:rFonts w:ascii="Open Sans" w:hAnsi="Open Sans" w:cs="Open Sans"/>
                <w:sz w:val="20"/>
                <w:lang w:val="en-GB"/>
              </w:rPr>
              <w:t>Evaluator(s)</w:t>
            </w:r>
            <w:r w:rsidR="0032268B">
              <w:rPr>
                <w:rStyle w:val="Lbjegyzet-hivatkozs"/>
                <w:rFonts w:ascii="Open Sans" w:hAnsi="Open Sans" w:cs="Open Sans"/>
                <w:sz w:val="20"/>
                <w:lang w:val="en-GB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  <w:r w:rsidRPr="00261593">
              <w:rPr>
                <w:rFonts w:ascii="Open Sans" w:hAnsi="Open Sans" w:cs="Open Sans"/>
                <w:sz w:val="20"/>
                <w:lang w:val="en-GB"/>
              </w:rPr>
              <w:t>Signature</w:t>
            </w: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</w:tr>
    </w:tbl>
    <w:p w:rsidR="00B5002E" w:rsidRPr="00B5002E" w:rsidRDefault="00B5002E" w:rsidP="00AD6A92">
      <w:pPr>
        <w:ind w:right="679"/>
        <w:jc w:val="both"/>
        <w:rPr>
          <w:rFonts w:ascii="Open Sans" w:hAnsi="Open Sans" w:cs="Open Sans"/>
          <w:b/>
          <w:i/>
          <w:sz w:val="20"/>
          <w:lang w:val="en-GB"/>
        </w:rPr>
      </w:pPr>
    </w:p>
    <w:sectPr w:rsidR="00B5002E" w:rsidRPr="00B5002E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ED" w:rsidRDefault="00294FED">
      <w:r>
        <w:separator/>
      </w:r>
    </w:p>
  </w:endnote>
  <w:endnote w:type="continuationSeparator" w:id="0">
    <w:p w:rsidR="00294FED" w:rsidRDefault="0029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9226AA" w:rsidRDefault="009226AA" w:rsidP="00CF24C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llb"/>
      <w:jc w:val="right"/>
      <w:rPr>
        <w:rFonts w:ascii="Open Sans" w:hAnsi="Open Sans" w:cs="Open Sans"/>
        <w:sz w:val="18"/>
        <w:szCs w:val="18"/>
      </w:rPr>
    </w:pPr>
    <w:r w:rsidRPr="00F44B99">
      <w:rPr>
        <w:rFonts w:ascii="Open Sans" w:hAnsi="Open Sans" w:cs="Open Sans"/>
        <w:sz w:val="18"/>
        <w:szCs w:val="18"/>
      </w:rPr>
      <w:t xml:space="preserve">Page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650211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 w:rsidRPr="00F44B99">
      <w:rPr>
        <w:rFonts w:ascii="Open Sans" w:hAnsi="Open Sans" w:cs="Open Sans"/>
        <w:sz w:val="18"/>
        <w:szCs w:val="18"/>
      </w:rPr>
      <w:t xml:space="preserve"> of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650211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llb"/>
      <w:ind w:right="360"/>
      <w:rPr>
        <w:sz w:val="20"/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226AA" w:rsidRDefault="009226AA" w:rsidP="00CF24C6">
    <w:pPr>
      <w:pStyle w:val="llb"/>
      <w:ind w:right="360"/>
      <w:rPr>
        <w:rFonts w:ascii="Arial" w:hAnsi="Arial"/>
        <w:sz w:val="20"/>
        <w:lang w:val="en-GB"/>
      </w:rPr>
    </w:pPr>
    <w:r>
      <w:rPr>
        <w:rFonts w:ascii="Arial" w:hAnsi="Arial"/>
        <w:sz w:val="20"/>
        <w:lang w:val="en-GB"/>
      </w:rPr>
      <w:t>2006</w:t>
    </w:r>
    <w:r>
      <w:rPr>
        <w:rFonts w:ascii="Arial" w:hAnsi="Arial"/>
        <w:sz w:val="20"/>
        <w:lang w:val="en-GB"/>
      </w:rPr>
      <w:tab/>
    </w:r>
    <w:r>
      <w:rPr>
        <w:rFonts w:ascii="Arial" w:hAnsi="Arial"/>
        <w:sz w:val="20"/>
        <w:lang w:val="en-GB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ED" w:rsidRDefault="00294FED">
      <w:r>
        <w:separator/>
      </w:r>
    </w:p>
  </w:footnote>
  <w:footnote w:type="continuationSeparator" w:id="0">
    <w:p w:rsidR="00294FED" w:rsidRDefault="00294FED">
      <w:r>
        <w:continuationSeparator/>
      </w:r>
    </w:p>
  </w:footnote>
  <w:footnote w:id="1">
    <w:p w:rsidR="002D2DB3" w:rsidRPr="002D2DB3" w:rsidRDefault="002D2DB3">
      <w:pPr>
        <w:pStyle w:val="Lbjegyzetszveg"/>
        <w:rPr>
          <w:rFonts w:ascii="Open Sans" w:hAnsi="Open Sans" w:cs="Open Sans"/>
          <w:sz w:val="16"/>
          <w:szCs w:val="16"/>
          <w:lang w:val="en-GB"/>
        </w:rPr>
      </w:pPr>
      <w:r w:rsidRPr="002D2DB3">
        <w:rPr>
          <w:rStyle w:val="Lbjegyzet-hivatkozs"/>
          <w:rFonts w:ascii="Open Sans" w:hAnsi="Open Sans" w:cs="Open Sans"/>
          <w:sz w:val="16"/>
          <w:szCs w:val="16"/>
          <w:lang w:val="en-GB"/>
        </w:rPr>
        <w:footnoteRef/>
      </w:r>
      <w:r w:rsidRPr="002D2DB3">
        <w:rPr>
          <w:rFonts w:ascii="Open Sans" w:hAnsi="Open Sans" w:cs="Open Sans"/>
          <w:sz w:val="16"/>
          <w:szCs w:val="16"/>
          <w:lang w:val="en-GB"/>
        </w:rPr>
        <w:t xml:space="preserve"> The deadline for the s</w:t>
      </w:r>
      <w:r>
        <w:rPr>
          <w:rFonts w:ascii="Open Sans" w:hAnsi="Open Sans" w:cs="Open Sans"/>
          <w:sz w:val="16"/>
          <w:szCs w:val="16"/>
          <w:lang w:val="en-GB"/>
        </w:rPr>
        <w:t xml:space="preserve">ubmission of tenders submitted </w:t>
      </w:r>
      <w:r w:rsidRPr="002D2DB3">
        <w:rPr>
          <w:rFonts w:ascii="Open Sans" w:hAnsi="Open Sans" w:cs="Open Sans"/>
          <w:sz w:val="16"/>
          <w:szCs w:val="16"/>
          <w:lang w:val="en-GB"/>
        </w:rPr>
        <w:t>by post or courier service is the indicated date as evidenced by the date of dispatch, the postmark or the date of the deposit slip.</w:t>
      </w:r>
    </w:p>
  </w:footnote>
  <w:footnote w:id="2">
    <w:p w:rsidR="000D7F28" w:rsidRPr="000D7F28" w:rsidRDefault="000D7F28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 w:rsidRPr="00650211">
        <w:rPr>
          <w:lang w:val="en-US"/>
        </w:rPr>
        <w:t xml:space="preserve"> </w:t>
      </w:r>
      <w:r w:rsidRPr="000D7F28">
        <w:rPr>
          <w:rFonts w:ascii="Open Sans" w:hAnsi="Open Sans" w:cs="Open Sans"/>
          <w:sz w:val="16"/>
          <w:szCs w:val="16"/>
          <w:lang w:val="en-GB"/>
        </w:rPr>
        <w:t>Delete if not applicable</w:t>
      </w:r>
    </w:p>
  </w:footnote>
  <w:footnote w:id="3">
    <w:p w:rsidR="0032268B" w:rsidRPr="0032268B" w:rsidRDefault="0032268B">
      <w:pPr>
        <w:pStyle w:val="Lbjegyzetszveg"/>
        <w:rPr>
          <w:lang w:val="hu-HU"/>
        </w:rPr>
      </w:pPr>
      <w:r w:rsidRPr="0032268B">
        <w:rPr>
          <w:rStyle w:val="Lbjegyzet-hivatkozs"/>
          <w:lang w:val="en-GB"/>
        </w:rPr>
        <w:footnoteRef/>
      </w:r>
      <w:r w:rsidRPr="0032268B">
        <w:rPr>
          <w:rStyle w:val="Lbjegyzet-hivatkozs"/>
          <w:lang w:val="en-GB"/>
        </w:rPr>
        <w:t xml:space="preserve"> </w:t>
      </w:r>
      <w:r w:rsidRPr="0032268B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</w:t>
      </w:r>
      <w:r w:rsidR="00CC3B01">
        <w:rPr>
          <w:rFonts w:ascii="Open Sans" w:hAnsi="Open Sans" w:cs="Open Sans"/>
          <w:sz w:val="16"/>
          <w:szCs w:val="16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  <w:rPr>
        <w:lang w:val="fr-FR"/>
      </w:rPr>
    </w:pPr>
    <w:r>
      <w:rPr>
        <w:rFonts w:ascii="Arial" w:hAnsi="Arial"/>
        <w:b w:val="0"/>
      </w:rPr>
      <w:t>&lt; Letterhead of Contracting Authority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74175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57B9"/>
    <w:rsid w:val="001C5AD8"/>
    <w:rsid w:val="001F45CF"/>
    <w:rsid w:val="00214481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41E3A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50211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D5DCE"/>
    <w:rsid w:val="006E4B9A"/>
    <w:rsid w:val="00726A81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32617"/>
    <w:rsid w:val="00A5109A"/>
    <w:rsid w:val="00A61EC4"/>
    <w:rsid w:val="00A628CE"/>
    <w:rsid w:val="00A80AC6"/>
    <w:rsid w:val="00A84054"/>
    <w:rsid w:val="00A9008D"/>
    <w:rsid w:val="00AB13AE"/>
    <w:rsid w:val="00AB488F"/>
    <w:rsid w:val="00AD6A5B"/>
    <w:rsid w:val="00AD6A92"/>
    <w:rsid w:val="00AE28C6"/>
    <w:rsid w:val="00B15C5D"/>
    <w:rsid w:val="00B23BC2"/>
    <w:rsid w:val="00B5002E"/>
    <w:rsid w:val="00B63499"/>
    <w:rsid w:val="00B918A6"/>
    <w:rsid w:val="00BA3C31"/>
    <w:rsid w:val="00BB6731"/>
    <w:rsid w:val="00BE10B1"/>
    <w:rsid w:val="00C00247"/>
    <w:rsid w:val="00C1062E"/>
    <w:rsid w:val="00C23158"/>
    <w:rsid w:val="00C6065D"/>
    <w:rsid w:val="00C8717C"/>
    <w:rsid w:val="00CB4E87"/>
    <w:rsid w:val="00CB709E"/>
    <w:rsid w:val="00CC104F"/>
    <w:rsid w:val="00CC3B01"/>
    <w:rsid w:val="00CE1816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1">
    <w:name w:val="List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5DF52-4895-4A64-8557-0E39E104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Halász János</cp:lastModifiedBy>
  <cp:revision>6</cp:revision>
  <cp:lastPrinted>2008-10-14T14:53:00Z</cp:lastPrinted>
  <dcterms:created xsi:type="dcterms:W3CDTF">2016-12-18T21:49:00Z</dcterms:created>
  <dcterms:modified xsi:type="dcterms:W3CDTF">2017-02-07T14:01:00Z</dcterms:modified>
</cp:coreProperties>
</file>